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AD696D4" w14:textId="5C993C36" w:rsidR="009870ED" w:rsidRPr="00C7346F" w:rsidRDefault="0038775E" w:rsidP="0006634C">
      <w:pPr>
        <w:tabs>
          <w:tab w:val="left" w:pos="5812"/>
          <w:tab w:val="left" w:pos="5954"/>
        </w:tabs>
        <w:spacing w:after="0" w:line="0" w:lineRule="atLeast"/>
        <w:ind w:left="-567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2AE26BCC" wp14:editId="602901B1">
            <wp:extent cx="1485900" cy="320040"/>
            <wp:effectExtent l="38100" t="0" r="38100" b="9906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19"/>
                    <a:stretch/>
                  </pic:blipFill>
                  <pic:spPr bwMode="auto">
                    <a:xfrm>
                      <a:off x="0" y="0"/>
                      <a:ext cx="1489578" cy="320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DBEFF9">
                          <a:alpha val="2000"/>
                        </a:srgbClr>
                      </a:outerShdw>
                      <a:reflection stA="0" endPos="650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465"/>
      </w:tblGrid>
      <w:tr w:rsidR="00076A2B" w:rsidRPr="00C7346F" w14:paraId="739BBC5D" w14:textId="77777777" w:rsidTr="00C7346F">
        <w:trPr>
          <w:trHeight w:val="2447"/>
        </w:trPr>
        <w:tc>
          <w:tcPr>
            <w:tcW w:w="6237" w:type="dxa"/>
          </w:tcPr>
          <w:p w14:paraId="5D35AAB9" w14:textId="77777777" w:rsidR="009870ED" w:rsidRPr="00C7346F" w:rsidRDefault="009870ED" w:rsidP="00C7346F">
            <w:pPr>
              <w:pStyle w:val="m"/>
              <w:spacing w:after="0"/>
              <w:jc w:val="left"/>
              <w:rPr>
                <w:rFonts w:ascii="Arial Narrow" w:eastAsia="Calibri" w:hAnsi="Arial Narrow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EE374F7" w14:textId="77777777" w:rsidR="009870ED" w:rsidRPr="00C7346F" w:rsidRDefault="009870ED" w:rsidP="00C7346F">
            <w:pPr>
              <w:pStyle w:val="m"/>
              <w:spacing w:after="0"/>
              <w:jc w:val="left"/>
              <w:rPr>
                <w:rFonts w:ascii="Arial Narrow" w:eastAsia="Calibri" w:hAnsi="Arial Narrow"/>
                <w:color w:val="0070C0"/>
                <w:sz w:val="24"/>
                <w:szCs w:val="24"/>
              </w:rPr>
            </w:pPr>
            <w:r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>«УТВЕРЖДАЮ»</w:t>
            </w:r>
          </w:p>
          <w:p w14:paraId="270B07F1" w14:textId="77777777" w:rsidR="009870ED" w:rsidRPr="00C7346F" w:rsidRDefault="009870ED" w:rsidP="00C7346F">
            <w:pPr>
              <w:pStyle w:val="m"/>
              <w:spacing w:after="0"/>
              <w:jc w:val="left"/>
              <w:rPr>
                <w:rFonts w:ascii="Arial Narrow" w:eastAsia="Calibri" w:hAnsi="Arial Narrow"/>
                <w:color w:val="0070C0"/>
                <w:sz w:val="24"/>
                <w:szCs w:val="24"/>
              </w:rPr>
            </w:pPr>
            <w:r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>Генеральный директор</w:t>
            </w:r>
          </w:p>
          <w:p w14:paraId="6D3C64B7" w14:textId="2479022B" w:rsidR="009870ED" w:rsidRPr="00C7346F" w:rsidRDefault="0038775E" w:rsidP="00C7346F">
            <w:pPr>
              <w:pStyle w:val="m"/>
              <w:spacing w:after="0"/>
              <w:jc w:val="left"/>
              <w:rPr>
                <w:rFonts w:ascii="Arial Narrow" w:eastAsia="Calibri" w:hAnsi="Arial Narrow"/>
                <w:color w:val="0070C0"/>
                <w:sz w:val="24"/>
                <w:szCs w:val="24"/>
              </w:rPr>
            </w:pPr>
            <w:r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>ООО «Аспектус фарма»</w:t>
            </w:r>
          </w:p>
          <w:p w14:paraId="40F0BB37" w14:textId="77777777" w:rsidR="009870ED" w:rsidRPr="00C7346F" w:rsidRDefault="009870ED" w:rsidP="00C7346F">
            <w:pPr>
              <w:pStyle w:val="m"/>
              <w:spacing w:after="0"/>
              <w:jc w:val="left"/>
              <w:rPr>
                <w:rFonts w:ascii="Arial Narrow" w:eastAsia="Calibri" w:hAnsi="Arial Narrow"/>
                <w:color w:val="0070C0"/>
                <w:sz w:val="24"/>
                <w:szCs w:val="24"/>
              </w:rPr>
            </w:pPr>
          </w:p>
          <w:p w14:paraId="2170AC26" w14:textId="77777777" w:rsidR="009870ED" w:rsidRPr="00C7346F" w:rsidRDefault="009870ED" w:rsidP="00C7346F">
            <w:pPr>
              <w:pStyle w:val="m"/>
              <w:spacing w:after="0"/>
              <w:rPr>
                <w:rFonts w:ascii="Arial Narrow" w:eastAsia="Calibri" w:hAnsi="Arial Narrow"/>
                <w:color w:val="0070C0"/>
                <w:sz w:val="24"/>
                <w:szCs w:val="24"/>
              </w:rPr>
            </w:pPr>
            <w:r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>_______________ И. Г. Кузнецов</w:t>
            </w:r>
          </w:p>
          <w:p w14:paraId="7A88FCC7" w14:textId="77777777" w:rsidR="009870ED" w:rsidRPr="00C7346F" w:rsidRDefault="009870ED" w:rsidP="00C7346F">
            <w:pPr>
              <w:pStyle w:val="m"/>
              <w:spacing w:after="0"/>
              <w:jc w:val="left"/>
              <w:rPr>
                <w:rFonts w:ascii="Arial Narrow" w:eastAsia="Calibri" w:hAnsi="Arial Narrow"/>
                <w:color w:val="0070C0"/>
                <w:sz w:val="24"/>
                <w:szCs w:val="24"/>
              </w:rPr>
            </w:pPr>
          </w:p>
          <w:p w14:paraId="2D49645B" w14:textId="691877D7" w:rsidR="009870ED" w:rsidRPr="00C7346F" w:rsidRDefault="009870ED" w:rsidP="00C7346F">
            <w:pPr>
              <w:pStyle w:val="m"/>
              <w:spacing w:after="0"/>
              <w:rPr>
                <w:rFonts w:ascii="Arial Narrow" w:eastAsia="Calibri" w:hAnsi="Arial Narrow"/>
                <w:color w:val="0070C0"/>
                <w:sz w:val="24"/>
                <w:szCs w:val="24"/>
              </w:rPr>
            </w:pPr>
            <w:proofErr w:type="gramStart"/>
            <w:r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>«</w:t>
            </w:r>
            <w:r w:rsidR="003E745C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 xml:space="preserve"> </w:t>
            </w:r>
            <w:r w:rsidR="0038775E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>_</w:t>
            </w:r>
            <w:proofErr w:type="gramEnd"/>
            <w:r w:rsidR="0038775E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>_</w:t>
            </w:r>
            <w:r w:rsidR="00F41C42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 xml:space="preserve"> </w:t>
            </w:r>
            <w:r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 xml:space="preserve">» </w:t>
            </w:r>
            <w:r w:rsidR="00D939EC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 xml:space="preserve"> </w:t>
            </w:r>
            <w:r w:rsidR="00967A1F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>__________</w:t>
            </w:r>
            <w:r w:rsidR="00D434BE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 xml:space="preserve"> </w:t>
            </w:r>
            <w:r w:rsidR="00D939EC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 xml:space="preserve"> </w:t>
            </w:r>
            <w:r w:rsidR="00D434BE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 xml:space="preserve">2 0 </w:t>
            </w:r>
            <w:r w:rsidR="00967A1F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>___</w:t>
            </w:r>
            <w:r w:rsidR="00D939EC"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 xml:space="preserve"> </w:t>
            </w:r>
            <w:r w:rsidRPr="00C7346F">
              <w:rPr>
                <w:rFonts w:ascii="Arial Narrow" w:eastAsia="Calibri" w:hAnsi="Arial Narrow"/>
                <w:color w:val="0070C0"/>
                <w:sz w:val="24"/>
                <w:szCs w:val="24"/>
              </w:rPr>
              <w:t>года</w:t>
            </w:r>
          </w:p>
        </w:tc>
      </w:tr>
    </w:tbl>
    <w:p w14:paraId="39366A1E" w14:textId="194FF37C" w:rsidR="0045539F" w:rsidRDefault="0045539F" w:rsidP="007959D2">
      <w:pPr>
        <w:pStyle w:val="m"/>
        <w:spacing w:after="240"/>
        <w:jc w:val="center"/>
        <w:rPr>
          <w:rFonts w:ascii="Arial Narrow" w:eastAsia="Calibri" w:hAnsi="Arial Narrow"/>
          <w:b/>
          <w:bCs/>
          <w:color w:val="0070C0"/>
          <w:sz w:val="32"/>
          <w:szCs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79349A" w:rsidRPr="0079349A" w14:paraId="59830440" w14:textId="77777777" w:rsidTr="0079349A">
        <w:tc>
          <w:tcPr>
            <w:tcW w:w="10055" w:type="dxa"/>
          </w:tcPr>
          <w:p w14:paraId="0F92F027" w14:textId="1313AEE9" w:rsidR="008F3DDE" w:rsidRPr="0079349A" w:rsidRDefault="008F3DDE" w:rsidP="00CA609D">
            <w:pPr>
              <w:pStyle w:val="m"/>
              <w:spacing w:after="240"/>
              <w:jc w:val="center"/>
              <w:rPr>
                <w:rFonts w:ascii="Arial Narrow" w:eastAsia="Calibri" w:hAnsi="Arial Narrow"/>
                <w:b/>
                <w:bCs/>
                <w:color w:val="0F6FC6" w:themeColor="accent1"/>
                <w:sz w:val="32"/>
                <w:szCs w:val="32"/>
              </w:rPr>
            </w:pPr>
          </w:p>
          <w:p w14:paraId="7529D099" w14:textId="77777777" w:rsidR="008F3DDE" w:rsidRPr="0079349A" w:rsidRDefault="008F3DDE" w:rsidP="00CA609D">
            <w:pPr>
              <w:pStyle w:val="m"/>
              <w:spacing w:after="240"/>
              <w:jc w:val="center"/>
              <w:rPr>
                <w:rFonts w:ascii="Arial Narrow" w:eastAsia="Calibri" w:hAnsi="Arial Narrow"/>
                <w:b/>
                <w:bCs/>
                <w:color w:val="0F6FC6" w:themeColor="accent1"/>
                <w:sz w:val="32"/>
                <w:szCs w:val="32"/>
              </w:rPr>
            </w:pPr>
          </w:p>
          <w:p w14:paraId="33C082C2" w14:textId="470F8A4D" w:rsidR="00CA609D" w:rsidRPr="0006634C" w:rsidRDefault="00CA609D" w:rsidP="0006634C">
            <w:pPr>
              <w:pStyle w:val="1"/>
              <w:rPr>
                <w:rFonts w:ascii="Arial Narrow" w:eastAsia="Calibri" w:hAnsi="Arial Narrow"/>
                <w:sz w:val="40"/>
                <w:szCs w:val="40"/>
              </w:rPr>
            </w:pPr>
            <w:r w:rsidRPr="0006634C">
              <w:rPr>
                <w:rFonts w:ascii="Arial Narrow" w:eastAsia="Calibri" w:hAnsi="Arial Narrow"/>
                <w:sz w:val="40"/>
                <w:szCs w:val="40"/>
              </w:rPr>
              <w:t>АНТИКОРРУПЦИОННАЯ ПОЛИТИКА</w:t>
            </w:r>
          </w:p>
          <w:p w14:paraId="3A39898F" w14:textId="77777777" w:rsidR="00CA609D" w:rsidRPr="0006634C" w:rsidRDefault="00CA609D" w:rsidP="00C7346F">
            <w:pPr>
              <w:pStyle w:val="m"/>
              <w:spacing w:after="240"/>
              <w:rPr>
                <w:rFonts w:ascii="Arial Narrow" w:eastAsia="Calibri" w:hAnsi="Arial Narrow"/>
                <w:b/>
                <w:bCs/>
                <w:color w:val="0F6FC6" w:themeColor="accent1"/>
                <w:sz w:val="40"/>
                <w:szCs w:val="40"/>
              </w:rPr>
            </w:pPr>
          </w:p>
          <w:p w14:paraId="7B651228" w14:textId="12FB2491" w:rsidR="00CA609D" w:rsidRPr="0006634C" w:rsidRDefault="00CA609D" w:rsidP="0006634C">
            <w:pPr>
              <w:pStyle w:val="1"/>
              <w:rPr>
                <w:rFonts w:eastAsia="Calibri"/>
              </w:rPr>
            </w:pPr>
            <w:r w:rsidRPr="0006634C">
              <w:rPr>
                <w:rFonts w:ascii="Arial Narrow" w:eastAsia="Calibri" w:hAnsi="Arial Narrow"/>
                <w:sz w:val="40"/>
                <w:szCs w:val="40"/>
              </w:rPr>
              <w:t>ООО «Аспектус фарма</w:t>
            </w:r>
            <w:r w:rsidRPr="0006634C">
              <w:rPr>
                <w:rFonts w:eastAsia="Calibri"/>
              </w:rPr>
              <w:t>»</w:t>
            </w:r>
          </w:p>
          <w:p w14:paraId="47B68AB1" w14:textId="40F39519" w:rsidR="00CA609D" w:rsidRPr="00C7346F" w:rsidRDefault="00CA609D" w:rsidP="00CA609D">
            <w:pPr>
              <w:pStyle w:val="m"/>
              <w:spacing w:after="240"/>
              <w:jc w:val="center"/>
              <w:rPr>
                <w:rFonts w:ascii="Arial Narrow" w:eastAsia="Calibri" w:hAnsi="Arial Narrow"/>
                <w:b/>
                <w:bCs/>
                <w:color w:val="0F6FC6" w:themeColor="accent1"/>
                <w:sz w:val="36"/>
                <w:szCs w:val="36"/>
              </w:rPr>
            </w:pPr>
          </w:p>
          <w:p w14:paraId="41F12A81" w14:textId="5BF87905" w:rsidR="0079349A" w:rsidRDefault="0079349A" w:rsidP="00CA609D">
            <w:pPr>
              <w:pStyle w:val="m"/>
              <w:spacing w:after="240"/>
              <w:jc w:val="center"/>
              <w:rPr>
                <w:rFonts w:ascii="Arial Narrow" w:eastAsia="Calibri" w:hAnsi="Arial Narrow"/>
                <w:b/>
                <w:bCs/>
                <w:color w:val="0F6FC6" w:themeColor="accent1"/>
                <w:sz w:val="32"/>
                <w:szCs w:val="32"/>
              </w:rPr>
            </w:pPr>
          </w:p>
          <w:p w14:paraId="66478CB5" w14:textId="43569E6B" w:rsidR="0079349A" w:rsidRDefault="0079349A" w:rsidP="00CA609D">
            <w:pPr>
              <w:pStyle w:val="m"/>
              <w:spacing w:after="240"/>
              <w:jc w:val="center"/>
              <w:rPr>
                <w:rFonts w:ascii="Arial Narrow" w:eastAsia="Calibri" w:hAnsi="Arial Narrow"/>
                <w:b/>
                <w:bCs/>
                <w:color w:val="0F6FC6" w:themeColor="accent1"/>
                <w:sz w:val="32"/>
                <w:szCs w:val="32"/>
              </w:rPr>
            </w:pPr>
          </w:p>
          <w:p w14:paraId="6D0851A0" w14:textId="73305065" w:rsidR="00C7346F" w:rsidRDefault="00C7346F" w:rsidP="00CA609D">
            <w:pPr>
              <w:pStyle w:val="m"/>
              <w:spacing w:after="240"/>
              <w:jc w:val="center"/>
              <w:rPr>
                <w:rFonts w:ascii="Arial Narrow" w:eastAsia="Calibri" w:hAnsi="Arial Narrow"/>
                <w:b/>
                <w:bCs/>
                <w:color w:val="0F6FC6" w:themeColor="accent1"/>
                <w:sz w:val="32"/>
                <w:szCs w:val="32"/>
              </w:rPr>
            </w:pPr>
          </w:p>
          <w:p w14:paraId="1F893AD7" w14:textId="6EA2FF3A" w:rsidR="00C7346F" w:rsidRDefault="00C7346F" w:rsidP="00CA609D">
            <w:pPr>
              <w:pStyle w:val="m"/>
              <w:spacing w:after="240"/>
              <w:jc w:val="center"/>
              <w:rPr>
                <w:rFonts w:ascii="Arial Narrow" w:eastAsia="Calibri" w:hAnsi="Arial Narrow"/>
                <w:b/>
                <w:bCs/>
                <w:color w:val="0F6FC6" w:themeColor="accent1"/>
                <w:sz w:val="32"/>
                <w:szCs w:val="32"/>
              </w:rPr>
            </w:pPr>
          </w:p>
          <w:p w14:paraId="7E264BF4" w14:textId="77777777" w:rsidR="00C7346F" w:rsidRDefault="00C7346F" w:rsidP="00CA609D">
            <w:pPr>
              <w:pStyle w:val="m"/>
              <w:spacing w:after="240"/>
              <w:jc w:val="center"/>
              <w:rPr>
                <w:rFonts w:ascii="Arial Narrow" w:eastAsia="Calibri" w:hAnsi="Arial Narrow"/>
                <w:b/>
                <w:bCs/>
                <w:color w:val="0F6FC6" w:themeColor="accent1"/>
                <w:sz w:val="32"/>
                <w:szCs w:val="32"/>
              </w:rPr>
            </w:pPr>
          </w:p>
          <w:p w14:paraId="7C86D59F" w14:textId="5BBE1F9C" w:rsidR="0079349A" w:rsidRDefault="0079349A" w:rsidP="00CA609D">
            <w:pPr>
              <w:pStyle w:val="m"/>
              <w:spacing w:after="240"/>
              <w:jc w:val="center"/>
              <w:rPr>
                <w:rFonts w:ascii="Arial Narrow" w:eastAsia="Calibri" w:hAnsi="Arial Narrow"/>
                <w:b/>
                <w:bCs/>
                <w:color w:val="0F6FC6" w:themeColor="accent1"/>
                <w:sz w:val="32"/>
                <w:szCs w:val="32"/>
              </w:rPr>
            </w:pPr>
          </w:p>
          <w:p w14:paraId="720BB9D1" w14:textId="54858ECE" w:rsidR="00B21A2F" w:rsidRDefault="00B21A2F" w:rsidP="00CA609D">
            <w:pPr>
              <w:pStyle w:val="m"/>
              <w:spacing w:after="240"/>
              <w:jc w:val="center"/>
              <w:rPr>
                <w:rFonts w:ascii="Arial Narrow" w:eastAsia="Calibri" w:hAnsi="Arial Narrow"/>
                <w:b/>
                <w:bCs/>
                <w:color w:val="0F6FC6" w:themeColor="accent1"/>
                <w:sz w:val="32"/>
                <w:szCs w:val="32"/>
              </w:rPr>
            </w:pPr>
          </w:p>
          <w:p w14:paraId="6AE64709" w14:textId="77777777" w:rsidR="0006634C" w:rsidRPr="0079349A" w:rsidRDefault="0006634C" w:rsidP="0006634C">
            <w:pPr>
              <w:pStyle w:val="m"/>
              <w:spacing w:after="240"/>
              <w:rPr>
                <w:rFonts w:ascii="Arial Narrow" w:eastAsia="Calibri" w:hAnsi="Arial Narrow"/>
                <w:b/>
                <w:bCs/>
                <w:color w:val="0F6FC6" w:themeColor="accent1"/>
                <w:sz w:val="32"/>
                <w:szCs w:val="32"/>
              </w:rPr>
            </w:pPr>
          </w:p>
          <w:p w14:paraId="0CEBDEFA" w14:textId="73008F3F" w:rsidR="00C7346F" w:rsidRPr="0006634C" w:rsidRDefault="0006634C" w:rsidP="00C7346F">
            <w:pPr>
              <w:pStyle w:val="2"/>
              <w:rPr>
                <w:rFonts w:ascii="Arial Narrow" w:eastAsia="Calibri" w:hAnsi="Arial Narrow" w:cs="Calibri"/>
                <w:caps w:val="0"/>
                <w:color w:val="0070C0"/>
                <w:spacing w:val="0"/>
                <w:sz w:val="32"/>
                <w:szCs w:val="32"/>
                <w:lang w:eastAsia="ar-SA"/>
              </w:rPr>
            </w:pPr>
            <w:r w:rsidRPr="0006634C">
              <w:rPr>
                <w:rFonts w:ascii="Arial Narrow" w:eastAsia="Calibri" w:hAnsi="Arial Narrow" w:cs="Calibri"/>
                <w:caps w:val="0"/>
                <w:color w:val="0070C0"/>
                <w:spacing w:val="0"/>
                <w:sz w:val="32"/>
                <w:szCs w:val="32"/>
                <w:lang w:eastAsia="ar-SA"/>
              </w:rPr>
              <w:t xml:space="preserve">г. </w:t>
            </w:r>
            <w:r w:rsidR="00B21A2F" w:rsidRPr="0006634C">
              <w:rPr>
                <w:rFonts w:ascii="Arial Narrow" w:eastAsia="Calibri" w:hAnsi="Arial Narrow" w:cs="Calibri"/>
                <w:caps w:val="0"/>
                <w:color w:val="0070C0"/>
                <w:spacing w:val="0"/>
                <w:sz w:val="32"/>
                <w:szCs w:val="32"/>
                <w:lang w:eastAsia="ar-SA"/>
              </w:rPr>
              <w:t>Москва</w:t>
            </w:r>
            <w:r w:rsidRPr="0006634C">
              <w:rPr>
                <w:rFonts w:ascii="Arial Narrow" w:eastAsia="Calibri" w:hAnsi="Arial Narrow" w:cs="Calibri"/>
                <w:caps w:val="0"/>
                <w:color w:val="0070C0"/>
                <w:spacing w:val="0"/>
                <w:sz w:val="32"/>
                <w:szCs w:val="32"/>
                <w:lang w:eastAsia="ar-SA"/>
              </w:rPr>
              <w:t xml:space="preserve"> </w:t>
            </w:r>
          </w:p>
          <w:p w14:paraId="43C0E0F6" w14:textId="579CAD41" w:rsidR="0006634C" w:rsidRPr="00C7346F" w:rsidRDefault="0006634C" w:rsidP="00C7346F"/>
        </w:tc>
      </w:tr>
    </w:tbl>
    <w:p w14:paraId="446213E4" w14:textId="5333ADE5" w:rsidR="00BF5635" w:rsidRPr="00C7346F" w:rsidRDefault="00BF5635" w:rsidP="00C7346F">
      <w:pPr>
        <w:pStyle w:val="2"/>
        <w:rPr>
          <w:rFonts w:ascii="Arial Narrow" w:eastAsia="Calibri" w:hAnsi="Arial Narrow" w:cs="Calibri"/>
          <w:caps w:val="0"/>
          <w:color w:val="0070C0"/>
          <w:spacing w:val="0"/>
          <w:sz w:val="24"/>
          <w:szCs w:val="24"/>
          <w:lang w:eastAsia="ar-SA"/>
        </w:rPr>
      </w:pPr>
      <w:r w:rsidRPr="00C7346F">
        <w:rPr>
          <w:rFonts w:ascii="Arial Narrow" w:eastAsia="Calibri" w:hAnsi="Arial Narrow" w:cs="Calibri"/>
          <w:caps w:val="0"/>
          <w:color w:val="0070C0"/>
          <w:spacing w:val="0"/>
          <w:sz w:val="24"/>
          <w:szCs w:val="24"/>
          <w:lang w:eastAsia="ar-SA"/>
        </w:rPr>
        <w:lastRenderedPageBreak/>
        <w:t xml:space="preserve">1. НАЗНАЧЕНИЕ ДОКУМЕНТА </w:t>
      </w:r>
    </w:p>
    <w:p w14:paraId="47387761" w14:textId="3A5A0C1E" w:rsidR="0079349A" w:rsidRDefault="0079349A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Настоящая Антикоррупционная политика компании (далее – «Политика») является базовым документом ООО «Аспектус фарма» (далее – «Компания»),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 Компанией, сотрудниками Компании и иными лицами, которые могут действовать от имени</w:t>
      </w:r>
      <w:r>
        <w:rPr>
          <w:rFonts w:ascii="Arial Narrow" w:hAnsi="Arial Narrow"/>
          <w:color w:val="0070C0"/>
          <w:lang w:eastAsia="ar-SA"/>
        </w:rPr>
        <w:t xml:space="preserve"> Компании.</w:t>
      </w:r>
    </w:p>
    <w:p w14:paraId="433AF56F" w14:textId="1B3E7C6F" w:rsidR="0079349A" w:rsidRDefault="0079349A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Политика разработана в соответствии с законодательством Российской Федерации, Уставом и другими внутренними документами Компании</w:t>
      </w:r>
      <w:r>
        <w:rPr>
          <w:rFonts w:ascii="Arial Narrow" w:hAnsi="Arial Narrow"/>
          <w:color w:val="0070C0"/>
          <w:lang w:eastAsia="ar-SA"/>
        </w:rPr>
        <w:t>.</w:t>
      </w:r>
    </w:p>
    <w:p w14:paraId="455C9C88" w14:textId="1DC098CA" w:rsidR="00BF5635" w:rsidRDefault="00BF563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Политика сформулирована с учетом того обстоятельства, что в России «коррупцией», «коррупционными действиями», «коррупционной деятельностью», считается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денежных средств, ценностей, иного имущества, услуг, каких-либо прав для себя или для иных лиц либо незаконное предоставление выгоды или прав этому лицу иными лицами.</w:t>
      </w:r>
    </w:p>
    <w:p w14:paraId="00B248D7" w14:textId="77777777" w:rsidR="00C7346F" w:rsidRPr="007959D2" w:rsidRDefault="00C7346F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</w:p>
    <w:p w14:paraId="2EEDE783" w14:textId="77D76813" w:rsidR="00C7346F" w:rsidRPr="00C7346F" w:rsidRDefault="00BF5635" w:rsidP="00C7346F">
      <w:pPr>
        <w:pStyle w:val="2"/>
        <w:rPr>
          <w:rFonts w:eastAsia="Calibri" w:cs="Calibri"/>
          <w:caps w:val="0"/>
          <w:color w:val="0070C0"/>
          <w:spacing w:val="0"/>
          <w:szCs w:val="24"/>
          <w:lang w:eastAsia="ar-SA"/>
        </w:rPr>
      </w:pPr>
      <w:r w:rsidRPr="00C7346F">
        <w:rPr>
          <w:rFonts w:ascii="Arial Narrow" w:eastAsia="Calibri" w:hAnsi="Arial Narrow" w:cs="Calibri"/>
          <w:caps w:val="0"/>
          <w:color w:val="0070C0"/>
          <w:spacing w:val="0"/>
          <w:sz w:val="24"/>
          <w:szCs w:val="24"/>
          <w:lang w:eastAsia="ar-SA"/>
        </w:rPr>
        <w:t xml:space="preserve">2. ЦЕЛИ ПОЛИТИКИ </w:t>
      </w:r>
    </w:p>
    <w:p w14:paraId="0930250D" w14:textId="77777777" w:rsidR="00BF5635" w:rsidRPr="007959D2" w:rsidRDefault="00BF5635" w:rsidP="00BF5635">
      <w:pPr>
        <w:pStyle w:val="Default"/>
        <w:numPr>
          <w:ilvl w:val="0"/>
          <w:numId w:val="39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Политика отражает приверженность Компании, ее руководства высоким этическим стандартам и принципам открытого и честного ведения бизнеса, а также стремление Компании к усовершенствованию корпоративной культуры, следованию лучшим практикам корпоративного управления и поддержанию деловой репутации Компании на должном уровне.</w:t>
      </w:r>
    </w:p>
    <w:p w14:paraId="170A2A02" w14:textId="77777777" w:rsidR="00BF5635" w:rsidRPr="007959D2" w:rsidRDefault="00BF5635" w:rsidP="00BF5635">
      <w:pPr>
        <w:pStyle w:val="Default"/>
        <w:numPr>
          <w:ilvl w:val="0"/>
          <w:numId w:val="39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Компания ставит перед собой цели: </w:t>
      </w:r>
    </w:p>
    <w:p w14:paraId="4CF83D79" w14:textId="77777777" w:rsidR="00BF5635" w:rsidRPr="007959D2" w:rsidRDefault="00BF5635" w:rsidP="00BF5635">
      <w:pPr>
        <w:pStyle w:val="Default"/>
        <w:numPr>
          <w:ilvl w:val="0"/>
          <w:numId w:val="40"/>
        </w:numPr>
        <w:suppressAutoHyphens/>
        <w:autoSpaceDN/>
        <w:adjustRightInd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Минимизировать риск вовлечения Компании, и сотрудников Компании независимо от занимаемой должности (далее совместно - «Сотрудники») в коррупционную деятельность. </w:t>
      </w:r>
    </w:p>
    <w:p w14:paraId="6A5B2A7D" w14:textId="77777777" w:rsidR="00BF5635" w:rsidRPr="007959D2" w:rsidRDefault="00BF5635" w:rsidP="00BF5635">
      <w:pPr>
        <w:pStyle w:val="Default"/>
        <w:numPr>
          <w:ilvl w:val="0"/>
          <w:numId w:val="40"/>
        </w:numPr>
        <w:suppressAutoHyphens/>
        <w:autoSpaceDN/>
        <w:adjustRightInd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Сформировать у контрагентов, Сотрудников и иных лиц единообразное понимание политики Компании о неприятии коррупции в любых формах и проявлениях. </w:t>
      </w:r>
    </w:p>
    <w:p w14:paraId="6D25F807" w14:textId="52A11035" w:rsidR="00C7346F" w:rsidRDefault="00BF5635" w:rsidP="00C7346F">
      <w:pPr>
        <w:pStyle w:val="Default"/>
        <w:numPr>
          <w:ilvl w:val="0"/>
          <w:numId w:val="40"/>
        </w:numPr>
        <w:suppressAutoHyphens/>
        <w:autoSpaceDN/>
        <w:adjustRightInd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Установить обязанность Сотрудников Компании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коррупции. </w:t>
      </w:r>
    </w:p>
    <w:p w14:paraId="07F7B2A0" w14:textId="77777777" w:rsidR="00C7346F" w:rsidRPr="00C7346F" w:rsidRDefault="00C7346F" w:rsidP="00C7346F">
      <w:pPr>
        <w:pStyle w:val="Default"/>
        <w:suppressAutoHyphens/>
        <w:autoSpaceDN/>
        <w:adjustRightInd/>
        <w:ind w:left="720"/>
        <w:jc w:val="both"/>
        <w:rPr>
          <w:rFonts w:ascii="Arial Narrow" w:hAnsi="Arial Narrow"/>
          <w:color w:val="0070C0"/>
          <w:lang w:eastAsia="ar-SA"/>
        </w:rPr>
      </w:pPr>
    </w:p>
    <w:p w14:paraId="37CB5D4A" w14:textId="3D9C308A" w:rsidR="00BF5635" w:rsidRPr="00977126" w:rsidRDefault="00BF5635" w:rsidP="00C7346F">
      <w:pPr>
        <w:pStyle w:val="2"/>
        <w:rPr>
          <w:rFonts w:ascii="Arial Narrow" w:eastAsia="Calibri" w:hAnsi="Arial Narrow" w:cs="Calibri"/>
          <w:caps w:val="0"/>
          <w:color w:val="0070C0"/>
          <w:spacing w:val="0"/>
          <w:sz w:val="24"/>
          <w:szCs w:val="24"/>
          <w:lang w:eastAsia="ar-SA"/>
        </w:rPr>
      </w:pPr>
      <w:r w:rsidRPr="00977126">
        <w:rPr>
          <w:rFonts w:ascii="Arial Narrow" w:eastAsia="Calibri" w:hAnsi="Arial Narrow" w:cs="Calibri"/>
          <w:caps w:val="0"/>
          <w:color w:val="0070C0"/>
          <w:spacing w:val="0"/>
          <w:sz w:val="24"/>
          <w:szCs w:val="24"/>
          <w:lang w:eastAsia="ar-SA"/>
        </w:rPr>
        <w:t xml:space="preserve">3. ОБЛАСТЬ ПРИМЕНЕНИЯ И ОБЯЗАННОСТИ </w:t>
      </w:r>
    </w:p>
    <w:p w14:paraId="0FC6B2D5" w14:textId="77777777" w:rsidR="00BF5635" w:rsidRPr="007959D2" w:rsidRDefault="00BF5635" w:rsidP="00BF5635">
      <w:pPr>
        <w:pStyle w:val="Default"/>
        <w:numPr>
          <w:ilvl w:val="0"/>
          <w:numId w:val="41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Все Сотрудники Компании должны руководствоваться настоящей Политикой и неукоснительно соблюдать ее принципы и требования.</w:t>
      </w:r>
    </w:p>
    <w:p w14:paraId="54C74BC7" w14:textId="66A91E60" w:rsidR="00BF5635" w:rsidRDefault="007959D2" w:rsidP="00BF5635">
      <w:pPr>
        <w:pStyle w:val="Default"/>
        <w:numPr>
          <w:ilvl w:val="0"/>
          <w:numId w:val="41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Ответственный сотрудник за э</w:t>
      </w:r>
      <w:r w:rsidR="00BF5635" w:rsidRPr="007959D2">
        <w:rPr>
          <w:rFonts w:ascii="Arial Narrow" w:hAnsi="Arial Narrow"/>
          <w:color w:val="0070C0"/>
          <w:lang w:eastAsia="ar-SA"/>
        </w:rPr>
        <w:t>тическо</w:t>
      </w:r>
      <w:r w:rsidRPr="007959D2">
        <w:rPr>
          <w:rFonts w:ascii="Arial Narrow" w:hAnsi="Arial Narrow"/>
          <w:color w:val="0070C0"/>
          <w:lang w:eastAsia="ar-SA"/>
        </w:rPr>
        <w:t>е</w:t>
      </w:r>
      <w:r w:rsidR="00BF5635" w:rsidRPr="007959D2">
        <w:rPr>
          <w:rFonts w:ascii="Arial Narrow" w:hAnsi="Arial Narrow"/>
          <w:color w:val="0070C0"/>
          <w:lang w:eastAsia="ar-SA"/>
        </w:rPr>
        <w:t xml:space="preserve"> ведени</w:t>
      </w:r>
      <w:r w:rsidRPr="007959D2">
        <w:rPr>
          <w:rFonts w:ascii="Arial Narrow" w:hAnsi="Arial Narrow"/>
          <w:color w:val="0070C0"/>
          <w:lang w:eastAsia="ar-SA"/>
        </w:rPr>
        <w:t>е</w:t>
      </w:r>
      <w:r w:rsidR="00BF5635" w:rsidRPr="007959D2">
        <w:rPr>
          <w:rFonts w:ascii="Arial Narrow" w:hAnsi="Arial Narrow"/>
          <w:color w:val="0070C0"/>
          <w:lang w:eastAsia="ar-SA"/>
        </w:rPr>
        <w:t xml:space="preserve"> бизнеса Компании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процедур, их внедрение и контроль.</w:t>
      </w:r>
      <w:r w:rsidR="00C7346F">
        <w:rPr>
          <w:rFonts w:ascii="Arial Narrow" w:hAnsi="Arial Narrow"/>
          <w:color w:val="0070C0"/>
          <w:lang w:eastAsia="ar-SA"/>
        </w:rPr>
        <w:t xml:space="preserve">   </w:t>
      </w:r>
    </w:p>
    <w:p w14:paraId="13B81370" w14:textId="77777777" w:rsidR="00C7346F" w:rsidRPr="007959D2" w:rsidRDefault="00C7346F" w:rsidP="00C7346F">
      <w:pPr>
        <w:pStyle w:val="Default"/>
        <w:suppressAutoHyphens/>
        <w:autoSpaceDN/>
        <w:adjustRightInd/>
        <w:ind w:left="426"/>
        <w:jc w:val="both"/>
        <w:rPr>
          <w:rFonts w:ascii="Arial Narrow" w:hAnsi="Arial Narrow"/>
          <w:color w:val="0070C0"/>
          <w:lang w:eastAsia="ar-SA"/>
        </w:rPr>
      </w:pPr>
    </w:p>
    <w:p w14:paraId="54B648E1" w14:textId="7016D500" w:rsidR="00C7346F" w:rsidRDefault="00BF5635" w:rsidP="00977126">
      <w:pPr>
        <w:pStyle w:val="Default"/>
        <w:numPr>
          <w:ilvl w:val="0"/>
          <w:numId w:val="41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C7346F">
        <w:rPr>
          <w:rFonts w:ascii="Arial Narrow" w:hAnsi="Arial Narrow"/>
          <w:color w:val="0070C0"/>
          <w:lang w:eastAsia="ar-SA"/>
        </w:rPr>
        <w:t xml:space="preserve">Принципы и требования настоящей Политики распространяются на контрагентов и Сотрудников Компании,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</w:p>
    <w:p w14:paraId="001DF7CA" w14:textId="17CE77FF" w:rsidR="00BF5635" w:rsidRDefault="00BF5635" w:rsidP="00977126">
      <w:pPr>
        <w:pStyle w:val="Default"/>
        <w:numPr>
          <w:ilvl w:val="0"/>
          <w:numId w:val="41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C7346F">
        <w:rPr>
          <w:rFonts w:ascii="Arial Narrow" w:hAnsi="Arial Narrow"/>
          <w:color w:val="0070C0"/>
          <w:lang w:eastAsia="ar-SA"/>
        </w:rPr>
        <w:t>Настоящая политика обязательна для исполнения всеми сотрудникам с полной и частичной занятостью, руководителям, директорам, должностным лицам и временному персоналу Компании (далее - “Сотрудники”)</w:t>
      </w:r>
      <w:r w:rsidR="009F0A22" w:rsidRPr="00C7346F">
        <w:rPr>
          <w:rFonts w:ascii="Arial Narrow" w:hAnsi="Arial Narrow"/>
          <w:color w:val="0070C0"/>
          <w:lang w:eastAsia="ar-SA"/>
        </w:rPr>
        <w:t>.</w:t>
      </w:r>
    </w:p>
    <w:p w14:paraId="66DE2FFA" w14:textId="77777777" w:rsidR="00C7346F" w:rsidRPr="00C7346F" w:rsidRDefault="00C7346F" w:rsidP="00C7346F">
      <w:pPr>
        <w:pStyle w:val="Default"/>
        <w:suppressAutoHyphens/>
        <w:autoSpaceDN/>
        <w:adjustRightInd/>
        <w:ind w:left="426"/>
        <w:jc w:val="both"/>
        <w:rPr>
          <w:rFonts w:ascii="Arial Narrow" w:hAnsi="Arial Narrow"/>
          <w:color w:val="0070C0"/>
          <w:lang w:eastAsia="ar-SA"/>
        </w:rPr>
      </w:pPr>
    </w:p>
    <w:p w14:paraId="18B7B5F6" w14:textId="77777777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 xml:space="preserve">4. ПРИМЕНИМОЕ АНТИКОРРУПЦИОННОЕ ЗАКОНОДАТЕЛЬСТВО </w:t>
      </w:r>
    </w:p>
    <w:p w14:paraId="6AB1D3E9" w14:textId="77777777" w:rsidR="00BF5635" w:rsidRPr="007959D2" w:rsidRDefault="00BF5635" w:rsidP="00BF5635">
      <w:pPr>
        <w:pStyle w:val="Default"/>
        <w:numPr>
          <w:ilvl w:val="0"/>
          <w:numId w:val="42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Российское антикоррупционное законодательство: Компания 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1401C025" w14:textId="5046D08B" w:rsidR="00BF5635" w:rsidRPr="007959D2" w:rsidRDefault="00BF5635" w:rsidP="00BF5635">
      <w:pPr>
        <w:pStyle w:val="Default"/>
        <w:numPr>
          <w:ilvl w:val="0"/>
          <w:numId w:val="42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Основные принципы Федерального закона</w:t>
      </w:r>
      <w:r w:rsidR="007959D2" w:rsidRPr="007959D2">
        <w:rPr>
          <w:rFonts w:ascii="Arial Narrow" w:hAnsi="Arial Narrow"/>
          <w:color w:val="0070C0"/>
          <w:lang w:eastAsia="ar-SA"/>
        </w:rPr>
        <w:t xml:space="preserve"> </w:t>
      </w:r>
      <w:r w:rsidRPr="007959D2">
        <w:rPr>
          <w:rFonts w:ascii="Arial Narrow" w:hAnsi="Arial Narrow"/>
          <w:color w:val="0070C0"/>
          <w:lang w:eastAsia="ar-SA"/>
        </w:rPr>
        <w:t xml:space="preserve">«О противодействии коррупции» сформулированы как: </w:t>
      </w:r>
    </w:p>
    <w:p w14:paraId="6743C21C" w14:textId="77777777" w:rsidR="00BF5635" w:rsidRPr="007959D2" w:rsidRDefault="00BF5635" w:rsidP="00BF5635">
      <w:pPr>
        <w:pStyle w:val="Default"/>
        <w:numPr>
          <w:ilvl w:val="0"/>
          <w:numId w:val="45"/>
        </w:numPr>
        <w:suppressAutoHyphens/>
        <w:autoSpaceDN/>
        <w:adjustRightInd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запрет дачи взяток, то есть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14:paraId="2D7A8F74" w14:textId="77777777" w:rsidR="00BF5635" w:rsidRPr="007959D2" w:rsidRDefault="00BF5635" w:rsidP="00BF5635">
      <w:pPr>
        <w:pStyle w:val="Default"/>
        <w:numPr>
          <w:ilvl w:val="0"/>
          <w:numId w:val="45"/>
        </w:numPr>
        <w:suppressAutoHyphens/>
        <w:autoSpaceDN/>
        <w:adjustRightInd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запрет получения взяток, то есть получения или согласия получить любую финансовую или иную выгоду/преимущество за исполнение своих должностных обязанностей ненадлежащим образом;</w:t>
      </w:r>
    </w:p>
    <w:p w14:paraId="51DE2277" w14:textId="77777777" w:rsidR="00BF5635" w:rsidRPr="007959D2" w:rsidRDefault="00BF5635" w:rsidP="00BF5635">
      <w:pPr>
        <w:pStyle w:val="Default"/>
        <w:numPr>
          <w:ilvl w:val="0"/>
          <w:numId w:val="45"/>
        </w:numPr>
        <w:suppressAutoHyphens/>
        <w:autoSpaceDN/>
        <w:adjustRightInd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запрет подкупа государственных служащих, то есть предоставления или обещания предоставить (прямо или через третьих лиц) государственному служащему любую финансовую или другую выгоду /преимущества с целью повлиять на исполнение его официальных обязанностей ненадлежащим образом; </w:t>
      </w:r>
    </w:p>
    <w:p w14:paraId="2A4CAB35" w14:textId="74E36874" w:rsidR="00BF5635" w:rsidRDefault="00BF5635" w:rsidP="00BF5635">
      <w:pPr>
        <w:pStyle w:val="Default"/>
        <w:numPr>
          <w:ilvl w:val="0"/>
          <w:numId w:val="42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С учетом изложенного всем Сотрудникам Компании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14:paraId="532B13CA" w14:textId="77777777" w:rsidR="00C7346F" w:rsidRDefault="00C7346F" w:rsidP="00C7346F">
      <w:pPr>
        <w:pStyle w:val="Default"/>
        <w:suppressAutoHyphens/>
        <w:autoSpaceDN/>
        <w:adjustRightInd/>
        <w:ind w:left="426"/>
        <w:jc w:val="both"/>
        <w:rPr>
          <w:rFonts w:ascii="Arial Narrow" w:hAnsi="Arial Narrow"/>
          <w:color w:val="0070C0"/>
          <w:lang w:eastAsia="ar-SA"/>
        </w:rPr>
      </w:pPr>
    </w:p>
    <w:p w14:paraId="6D9327FE" w14:textId="77777777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 xml:space="preserve">5. КЛЮЧЕВЫЕ ПРИНЦИПЫ </w:t>
      </w:r>
    </w:p>
    <w:p w14:paraId="528F3509" w14:textId="36A30AB8" w:rsidR="00BF5635" w:rsidRDefault="00BF563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В Компании закрепляется принцип неприятия коррупции в любых формах и проявлениях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14:paraId="27DF029F" w14:textId="77777777" w:rsidR="00C7346F" w:rsidRPr="007959D2" w:rsidRDefault="00C7346F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</w:p>
    <w:p w14:paraId="265999EF" w14:textId="77777777" w:rsidR="00BF5635" w:rsidRPr="007959D2" w:rsidRDefault="00BF5635" w:rsidP="00BF5635">
      <w:pPr>
        <w:pStyle w:val="Default"/>
        <w:numPr>
          <w:ilvl w:val="0"/>
          <w:numId w:val="43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Адекватные антикоррупционные процедуры </w:t>
      </w:r>
    </w:p>
    <w:p w14:paraId="1D869822" w14:textId="35830A92" w:rsidR="00BF5635" w:rsidRDefault="00BF563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Компания разрабатывает и внедряет адекватные процедуры по предотвращению коррупции и контролирует их соблюдение. </w:t>
      </w:r>
    </w:p>
    <w:p w14:paraId="42652368" w14:textId="780F8483" w:rsidR="00BF5635" w:rsidRPr="0006634C" w:rsidRDefault="00BF5635" w:rsidP="0006634C">
      <w:pPr>
        <w:pStyle w:val="Default"/>
        <w:numPr>
          <w:ilvl w:val="0"/>
          <w:numId w:val="43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Проверка контрагентов </w:t>
      </w:r>
      <w:r w:rsidR="00C7346F" w:rsidRPr="00C7346F">
        <w:rPr>
          <w:rFonts w:ascii="Arial Narrow" w:hAnsi="Arial Narrow"/>
          <w:color w:val="0070C0"/>
          <w:lang w:eastAsia="ar-SA"/>
        </w:rPr>
        <w:t>К</w:t>
      </w:r>
      <w:r w:rsidRPr="00C7346F">
        <w:rPr>
          <w:rFonts w:ascii="Arial Narrow" w:hAnsi="Arial Narrow"/>
          <w:color w:val="0070C0"/>
          <w:lang w:eastAsia="ar-SA"/>
        </w:rPr>
        <w:t xml:space="preserve">омпания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</w:t>
      </w:r>
      <w:r w:rsidRPr="0006634C">
        <w:rPr>
          <w:rFonts w:ascii="Arial Narrow" w:hAnsi="Arial Narrow"/>
          <w:color w:val="0070C0"/>
          <w:lang w:eastAsia="ar-SA"/>
        </w:rPr>
        <w:t xml:space="preserve">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 </w:t>
      </w:r>
    </w:p>
    <w:p w14:paraId="1372331F" w14:textId="77777777" w:rsidR="00BF5635" w:rsidRPr="007959D2" w:rsidRDefault="00BF5635" w:rsidP="00BF5635">
      <w:pPr>
        <w:pStyle w:val="Default"/>
        <w:numPr>
          <w:ilvl w:val="0"/>
          <w:numId w:val="43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Информирование и обучение </w:t>
      </w:r>
    </w:p>
    <w:p w14:paraId="269A7308" w14:textId="77777777" w:rsidR="00BF5635" w:rsidRPr="007959D2" w:rsidRDefault="00BF563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Компания размещает настоящую Политику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</w:t>
      </w:r>
    </w:p>
    <w:p w14:paraId="232C7221" w14:textId="77777777" w:rsidR="00BF5635" w:rsidRPr="007959D2" w:rsidRDefault="00BF5635" w:rsidP="00BF5635">
      <w:pPr>
        <w:pStyle w:val="Default"/>
        <w:numPr>
          <w:ilvl w:val="0"/>
          <w:numId w:val="43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Мониторинг и контроль </w:t>
      </w:r>
    </w:p>
    <w:p w14:paraId="0C59EB4B" w14:textId="1C3FCC60" w:rsidR="00BF5635" w:rsidRDefault="00BF563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В связи с возможным изменением во времени коррупционных рисков и иных факторов, оказывающих влияние на хозяйственную деятельность, Компания 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</w:t>
      </w:r>
    </w:p>
    <w:p w14:paraId="5716AEE1" w14:textId="77777777" w:rsidR="00C7346F" w:rsidRPr="007959D2" w:rsidRDefault="00C7346F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</w:p>
    <w:p w14:paraId="70D24A96" w14:textId="77777777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 xml:space="preserve">6. ПОДАРКИ </w:t>
      </w:r>
    </w:p>
    <w:p w14:paraId="63679817" w14:textId="56904229" w:rsidR="00BF5635" w:rsidRDefault="00BF5635" w:rsidP="00C7346F">
      <w:pPr>
        <w:pStyle w:val="Default"/>
        <w:numPr>
          <w:ilvl w:val="0"/>
          <w:numId w:val="48"/>
        </w:numPr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 Не допускаются подарки от имени Компании и ее Сотрудников Специалистам здравоохранения и Государственным служащим в любой форме, эквиваленте, в виде денежных средств, как наличных, так и безналичных, независимо от валюты.</w:t>
      </w:r>
    </w:p>
    <w:p w14:paraId="7746FD14" w14:textId="77777777" w:rsidR="00C7346F" w:rsidRPr="00C7346F" w:rsidRDefault="00C7346F" w:rsidP="00C7346F">
      <w:pPr>
        <w:pStyle w:val="Default"/>
        <w:autoSpaceDN/>
        <w:adjustRightInd/>
        <w:jc w:val="both"/>
        <w:rPr>
          <w:rFonts w:ascii="Arial Narrow" w:hAnsi="Arial Narrow"/>
          <w:color w:val="0070C0"/>
          <w:lang w:eastAsia="ar-SA"/>
        </w:rPr>
      </w:pPr>
    </w:p>
    <w:p w14:paraId="18429EA6" w14:textId="77777777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 xml:space="preserve">7. УЧАСТИЕ В ПОЛИТИЧЕСКОЙ ДЕЯТЕЛЬНОСТИ </w:t>
      </w:r>
    </w:p>
    <w:p w14:paraId="29C511C0" w14:textId="1F083690" w:rsidR="00BF5635" w:rsidRDefault="00BF563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Компания не финансирует политические партии, организации и движения в целях получения коммерческих преимуществ в конкретных проектах Компании и Обществ. </w:t>
      </w:r>
    </w:p>
    <w:p w14:paraId="1921F5C0" w14:textId="77777777" w:rsidR="0006634C" w:rsidRPr="007959D2" w:rsidRDefault="0006634C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</w:p>
    <w:p w14:paraId="1D7741CD" w14:textId="77777777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 xml:space="preserve">8. ВЗАИМОДЕЙСТВИЕ С ГОСУДАРСТВЕННЫМИ СЛУЖАЩИМИ </w:t>
      </w:r>
    </w:p>
    <w:p w14:paraId="186F8457" w14:textId="46DD8C82" w:rsidR="00BF5635" w:rsidRDefault="00BF563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Компания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Компании и Обществ, в том числе расходов на транспорт, проживание, питание, развлечения, PR-кампании и т.п., или получение ими за счет Компании иной выгоды. </w:t>
      </w:r>
    </w:p>
    <w:p w14:paraId="11B8D9B2" w14:textId="26D3B392" w:rsidR="0006634C" w:rsidRDefault="0006634C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</w:p>
    <w:p w14:paraId="229CA854" w14:textId="6EF27282" w:rsidR="001A5E55" w:rsidRDefault="001A5E5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</w:p>
    <w:p w14:paraId="661FD6D1" w14:textId="77777777" w:rsidR="001A5E55" w:rsidRPr="007959D2" w:rsidRDefault="001A5E5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</w:p>
    <w:p w14:paraId="474366BE" w14:textId="77777777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 xml:space="preserve">9. ВЗАИМОДЕЙСТВИЕ С СОТРУДНИКАМИ </w:t>
      </w:r>
    </w:p>
    <w:p w14:paraId="69B2E5AE" w14:textId="77777777" w:rsidR="00BF5635" w:rsidRPr="007959D2" w:rsidRDefault="00BF5635" w:rsidP="00BF5635">
      <w:pPr>
        <w:pStyle w:val="Default"/>
        <w:numPr>
          <w:ilvl w:val="0"/>
          <w:numId w:val="44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Компания требует от своих Сотрудников соблюдения настоящей Политики, информируя их о ключевых принципах, требованиях и санкциях за нарушения и включая их в должностные обязанности работников Компании.</w:t>
      </w:r>
    </w:p>
    <w:p w14:paraId="30E0E598" w14:textId="575DAB83" w:rsidR="00BF5635" w:rsidRPr="009F0A22" w:rsidRDefault="00BF5635" w:rsidP="00977126">
      <w:pPr>
        <w:pStyle w:val="Default"/>
        <w:numPr>
          <w:ilvl w:val="0"/>
          <w:numId w:val="44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b/>
          <w:bCs/>
          <w:color w:val="0070C0"/>
          <w:u w:val="single"/>
          <w:lang w:eastAsia="ar-SA"/>
        </w:rPr>
      </w:pPr>
      <w:r w:rsidRPr="009F0A22">
        <w:rPr>
          <w:rFonts w:ascii="Arial Narrow" w:hAnsi="Arial Narrow"/>
          <w:color w:val="0070C0"/>
          <w:lang w:eastAsia="ar-SA"/>
        </w:rPr>
        <w:t>В Компании организуются безопасные, конфиденциальные и доступные средства информирования руководства Компании, а именно электронная почта:</w:t>
      </w:r>
      <w:r w:rsidR="009F0A22" w:rsidRPr="009F0A22">
        <w:rPr>
          <w:rFonts w:ascii="Arial Narrow" w:hAnsi="Arial Narrow"/>
          <w:color w:val="0070C0"/>
          <w:lang w:eastAsia="ar-SA"/>
        </w:rPr>
        <w:t xml:space="preserve"> </w:t>
      </w:r>
      <w:r w:rsidR="009F0A22" w:rsidRPr="009F0A22">
        <w:rPr>
          <w:rFonts w:ascii="Arial Narrow" w:hAnsi="Arial Narrow"/>
          <w:b/>
          <w:bCs/>
          <w:color w:val="0070C0"/>
          <w:u w:val="single"/>
          <w:lang w:eastAsia="ar-SA"/>
        </w:rPr>
        <w:t>compliance@aspectus-pharma.ru</w:t>
      </w:r>
      <w:r w:rsidR="009F0A22">
        <w:rPr>
          <w:rFonts w:ascii="Arial Narrow" w:hAnsi="Arial Narrow"/>
          <w:b/>
          <w:bCs/>
          <w:color w:val="0070C0"/>
          <w:u w:val="single"/>
          <w:lang w:eastAsia="ar-SA"/>
        </w:rPr>
        <w:t>.</w:t>
      </w:r>
    </w:p>
    <w:p w14:paraId="3ED4CBEA" w14:textId="6B5943BB" w:rsidR="00BF5635" w:rsidRDefault="00BF5635" w:rsidP="00BF5635">
      <w:pPr>
        <w:pStyle w:val="Default"/>
        <w:numPr>
          <w:ilvl w:val="0"/>
          <w:numId w:val="44"/>
        </w:numPr>
        <w:suppressAutoHyphens/>
        <w:autoSpaceDN/>
        <w:adjustRightInd/>
        <w:ind w:left="426" w:hanging="426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Для формирования надлежащего уровня антикоррупционной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семинары в очной и/или дистанционной форме. </w:t>
      </w:r>
    </w:p>
    <w:p w14:paraId="5A886035" w14:textId="77777777" w:rsidR="0006634C" w:rsidRPr="007959D2" w:rsidRDefault="0006634C" w:rsidP="0006634C">
      <w:pPr>
        <w:pStyle w:val="Default"/>
        <w:suppressAutoHyphens/>
        <w:autoSpaceDN/>
        <w:adjustRightInd/>
        <w:ind w:left="426"/>
        <w:jc w:val="both"/>
        <w:rPr>
          <w:rFonts w:ascii="Arial Narrow" w:hAnsi="Arial Narrow"/>
          <w:color w:val="0070C0"/>
          <w:lang w:eastAsia="ar-SA"/>
        </w:rPr>
      </w:pPr>
    </w:p>
    <w:p w14:paraId="7BA5A29D" w14:textId="39EB0682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>10. ВЗАИМОДЕЙСТВИЕ С ПОСРЕДНИКАМИ И ИНЫМИ ЛИЦАМИ</w:t>
      </w:r>
    </w:p>
    <w:p w14:paraId="1E72D9D7" w14:textId="77777777" w:rsidR="00BF5635" w:rsidRPr="007959D2" w:rsidRDefault="00BF563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В целях исполнения принципов и требований, предусмотренных в Политике, Компания осуществляет включение антикоррупционных условий (оговорок) в договоры с посредниками, партнерами, агентами, совместными предприятиями и иными лицами. Антикоррупционные условия (оговорки) должны содержать сведения о Политике и системе антикоррупционных процедур, действующих в Компании,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</w:t>
      </w:r>
    </w:p>
    <w:p w14:paraId="10C2501C" w14:textId="77777777" w:rsidR="0079349A" w:rsidRPr="007959D2" w:rsidRDefault="0079349A" w:rsidP="00BF5635">
      <w:pPr>
        <w:pStyle w:val="Default"/>
        <w:ind w:left="426" w:hanging="426"/>
        <w:jc w:val="both"/>
        <w:rPr>
          <w:rFonts w:ascii="Arial Narrow" w:hAnsi="Arial Narrow"/>
          <w:color w:val="0070C0"/>
          <w:lang w:eastAsia="ar-SA"/>
        </w:rPr>
      </w:pPr>
    </w:p>
    <w:p w14:paraId="3EFA02D4" w14:textId="77777777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 xml:space="preserve">11. ВЕДЕНИЕ БУХГАЛТЕРСКИХ КНИГ И ЗАПИСЕЙ </w:t>
      </w:r>
    </w:p>
    <w:p w14:paraId="1AD69B2D" w14:textId="77777777" w:rsidR="00BF5635" w:rsidRPr="007959D2" w:rsidRDefault="00BF5635" w:rsidP="00BF5635">
      <w:pPr>
        <w:pStyle w:val="Default"/>
        <w:numPr>
          <w:ilvl w:val="0"/>
          <w:numId w:val="46"/>
        </w:numPr>
        <w:suppressAutoHyphens/>
        <w:autoSpaceDN/>
        <w:adjustRightInd/>
        <w:ind w:left="567" w:hanging="567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Все финансовые операции должны быть аккуратно, правильно и с достаточным уровнем детализации отражены в бухгалтерском учете Компании, задокументированы и доступны для проверки.</w:t>
      </w:r>
    </w:p>
    <w:p w14:paraId="360BD4D5" w14:textId="77777777" w:rsidR="00BF5635" w:rsidRPr="007959D2" w:rsidRDefault="00BF5635" w:rsidP="00BF5635">
      <w:pPr>
        <w:pStyle w:val="Default"/>
        <w:numPr>
          <w:ilvl w:val="0"/>
          <w:numId w:val="46"/>
        </w:numPr>
        <w:suppressAutoHyphens/>
        <w:autoSpaceDN/>
        <w:adjustRightInd/>
        <w:ind w:left="567" w:hanging="567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В Компании назначены Сотрудники,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14:paraId="7EF0ADCA" w14:textId="77777777" w:rsidR="00BF5635" w:rsidRPr="007959D2" w:rsidRDefault="00BF5635" w:rsidP="00BF5635">
      <w:pPr>
        <w:pStyle w:val="Default"/>
        <w:numPr>
          <w:ilvl w:val="0"/>
          <w:numId w:val="46"/>
        </w:numPr>
        <w:suppressAutoHyphens/>
        <w:autoSpaceDN/>
        <w:adjustRightInd/>
        <w:ind w:left="567" w:hanging="567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Искажение или фальсификация бухгалтерской отчетности Компании строго запрещены и расцениваются как мошенничество. </w:t>
      </w:r>
    </w:p>
    <w:p w14:paraId="72482A59" w14:textId="77777777" w:rsidR="00BF5635" w:rsidRPr="007959D2" w:rsidRDefault="00BF5635" w:rsidP="00BF5635">
      <w:pPr>
        <w:pStyle w:val="Default"/>
        <w:ind w:left="426" w:hanging="426"/>
        <w:jc w:val="both"/>
        <w:rPr>
          <w:rFonts w:ascii="Arial Narrow" w:hAnsi="Arial Narrow"/>
          <w:color w:val="0070C0"/>
          <w:lang w:eastAsia="ar-SA"/>
        </w:rPr>
      </w:pPr>
    </w:p>
    <w:p w14:paraId="558D7DDC" w14:textId="77777777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 xml:space="preserve">12. ОПОВЕЩЕНИЕ О НЕДОСТАТКАХ </w:t>
      </w:r>
    </w:p>
    <w:p w14:paraId="6A8DC662" w14:textId="26235A4B" w:rsidR="00BF5635" w:rsidRPr="007959D2" w:rsidRDefault="00BF5635" w:rsidP="007959D2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лиц, которые взаимодействуют с Компанией, может сообщить об этом на электронную почту  Компании - </w:t>
      </w:r>
      <w:hyperlink r:id="rId9" w:history="1">
        <w:r w:rsidR="009F0A22" w:rsidRPr="009F0A22">
          <w:rPr>
            <w:rStyle w:val="a7"/>
            <w:rFonts w:ascii="Arial Narrow" w:hAnsi="Arial Narrow"/>
            <w:b/>
            <w:bCs/>
            <w:lang w:eastAsia="ar-SA"/>
          </w:rPr>
          <w:t>compliance@aspectus-pharma.ru</w:t>
        </w:r>
      </w:hyperlink>
      <w:r w:rsidRPr="007959D2">
        <w:rPr>
          <w:rFonts w:ascii="Arial Narrow" w:hAnsi="Arial Narrow"/>
          <w:color w:val="0070C0"/>
          <w:lang w:eastAsia="ar-SA"/>
        </w:rPr>
        <w:t>, либо своему непосредственному руководителю.</w:t>
      </w:r>
    </w:p>
    <w:p w14:paraId="5C009483" w14:textId="7B843906" w:rsidR="00BF5635" w:rsidRDefault="00BF5635" w:rsidP="00BF5635">
      <w:pPr>
        <w:pStyle w:val="Default"/>
        <w:ind w:left="426" w:hanging="426"/>
        <w:jc w:val="both"/>
        <w:rPr>
          <w:rFonts w:ascii="Arial Narrow" w:hAnsi="Arial Narrow"/>
          <w:color w:val="0070C0"/>
          <w:lang w:eastAsia="ar-SA"/>
        </w:rPr>
      </w:pPr>
    </w:p>
    <w:p w14:paraId="6ED642DD" w14:textId="77777777" w:rsidR="0006634C" w:rsidRPr="007959D2" w:rsidRDefault="0006634C" w:rsidP="00BF5635">
      <w:pPr>
        <w:pStyle w:val="Default"/>
        <w:ind w:left="426" w:hanging="426"/>
        <w:jc w:val="both"/>
        <w:rPr>
          <w:rFonts w:ascii="Arial Narrow" w:hAnsi="Arial Narrow"/>
          <w:color w:val="0070C0"/>
          <w:lang w:eastAsia="ar-SA"/>
        </w:rPr>
      </w:pPr>
    </w:p>
    <w:p w14:paraId="1D4E498C" w14:textId="77777777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 xml:space="preserve">13. ОТКАЗ ОТ ОТВЕТНЫХ МЕР И САНКЦИЙ </w:t>
      </w:r>
    </w:p>
    <w:p w14:paraId="3D4C677B" w14:textId="77777777" w:rsidR="00BF5635" w:rsidRPr="007959D2" w:rsidRDefault="00BF5635" w:rsidP="00BF5635">
      <w:pPr>
        <w:pStyle w:val="Default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Компания заявляет о том, что ни один Сотрудник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Компании и Общества возникла упущенная выгода или не были получены коммерческие и конкурентные преимущества. </w:t>
      </w:r>
    </w:p>
    <w:p w14:paraId="372AB41F" w14:textId="77777777" w:rsidR="00BF5635" w:rsidRPr="007959D2" w:rsidRDefault="00BF5635" w:rsidP="00BF5635">
      <w:pPr>
        <w:pStyle w:val="Default"/>
        <w:ind w:left="426" w:hanging="426"/>
        <w:jc w:val="both"/>
        <w:rPr>
          <w:rFonts w:ascii="Arial Narrow" w:hAnsi="Arial Narrow"/>
          <w:color w:val="0070C0"/>
          <w:lang w:eastAsia="ar-SA"/>
        </w:rPr>
      </w:pPr>
    </w:p>
    <w:p w14:paraId="7C4CEC50" w14:textId="77777777" w:rsidR="00BF5635" w:rsidRPr="001A5E55" w:rsidRDefault="00BF5635" w:rsidP="00C7346F">
      <w:pPr>
        <w:pStyle w:val="2"/>
        <w:rPr>
          <w:rFonts w:ascii="Arial Narrow" w:hAnsi="Arial Narrow"/>
          <w:color w:val="0F6FC6" w:themeColor="accent1"/>
          <w:sz w:val="24"/>
          <w:szCs w:val="24"/>
          <w:lang w:eastAsia="ar-SA"/>
        </w:rPr>
      </w:pPr>
      <w:r w:rsidRPr="001A5E55">
        <w:rPr>
          <w:rFonts w:ascii="Arial Narrow" w:hAnsi="Arial Narrow"/>
          <w:color w:val="0F6FC6" w:themeColor="accent1"/>
          <w:sz w:val="24"/>
          <w:szCs w:val="24"/>
          <w:lang w:eastAsia="ar-SA"/>
        </w:rPr>
        <w:t xml:space="preserve">14. ОТВЕТСТВЕННОСТЬ ЗА НЕИСПОЛНЕНИЕ (НЕНАДЛЕЖАЩЕЕ ИСПОЛНЕНИЕ) НАСТОЯЩЕЙ ПОЛИТИКИ </w:t>
      </w:r>
    </w:p>
    <w:p w14:paraId="2017EEEB" w14:textId="77777777" w:rsidR="00BF5635" w:rsidRPr="007959D2" w:rsidRDefault="00BF5635" w:rsidP="00BF5635">
      <w:pPr>
        <w:pStyle w:val="Default"/>
        <w:numPr>
          <w:ilvl w:val="0"/>
          <w:numId w:val="47"/>
        </w:numPr>
        <w:suppressAutoHyphens/>
        <w:autoSpaceDN/>
        <w:adjustRightInd/>
        <w:ind w:left="567" w:hanging="567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>Всё сотрудники Компании,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</w:t>
      </w:r>
    </w:p>
    <w:p w14:paraId="513563EB" w14:textId="77777777" w:rsidR="00BF5635" w:rsidRPr="007959D2" w:rsidRDefault="00BF5635" w:rsidP="00BF5635">
      <w:pPr>
        <w:pStyle w:val="Default"/>
        <w:numPr>
          <w:ilvl w:val="0"/>
          <w:numId w:val="47"/>
        </w:numPr>
        <w:suppressAutoHyphens/>
        <w:autoSpaceDN/>
        <w:adjustRightInd/>
        <w:ind w:left="567" w:hanging="567"/>
        <w:jc w:val="both"/>
        <w:rPr>
          <w:rFonts w:ascii="Arial Narrow" w:hAnsi="Arial Narrow"/>
          <w:color w:val="0070C0"/>
          <w:lang w:eastAsia="ar-SA"/>
        </w:rPr>
      </w:pPr>
      <w:r w:rsidRPr="007959D2">
        <w:rPr>
          <w:rFonts w:ascii="Arial Narrow" w:hAnsi="Arial Narrow"/>
          <w:color w:val="0070C0"/>
          <w:lang w:eastAsia="ar-SA"/>
        </w:rPr>
        <w:t xml:space="preserve"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Компании, правоохранительных органов или иных лиц в порядке и по основаниям, предусмотренным законодательством Российской Федерации, Уставом Компании, локальными нормативными актами и трудовыми договорами. </w:t>
      </w:r>
    </w:p>
    <w:p w14:paraId="3048EDAD" w14:textId="77777777" w:rsidR="003C6DAC" w:rsidRPr="007959D2" w:rsidRDefault="003C6DAC" w:rsidP="00BF5635">
      <w:pPr>
        <w:spacing w:line="0" w:lineRule="atLeast"/>
        <w:rPr>
          <w:rFonts w:ascii="Arial Narrow" w:eastAsia="Calibri" w:hAnsi="Arial Narrow" w:cs="Calibri"/>
          <w:color w:val="0070C0"/>
          <w:sz w:val="24"/>
          <w:szCs w:val="24"/>
          <w:lang w:eastAsia="ar-SA"/>
        </w:rPr>
      </w:pPr>
    </w:p>
    <w:sectPr w:rsidR="003C6DAC" w:rsidRPr="007959D2" w:rsidSect="0006634C">
      <w:footerReference w:type="default" r:id="rId10"/>
      <w:pgSz w:w="11906" w:h="16838"/>
      <w:pgMar w:top="426" w:right="707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FB90" w14:textId="77777777" w:rsidR="00CB2F4F" w:rsidRDefault="00CB2F4F">
      <w:r>
        <w:separator/>
      </w:r>
    </w:p>
  </w:endnote>
  <w:endnote w:type="continuationSeparator" w:id="0">
    <w:p w14:paraId="09D05EDF" w14:textId="77777777" w:rsidR="00CB2F4F" w:rsidRDefault="00CB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410857"/>
      <w:docPartObj>
        <w:docPartGallery w:val="Page Numbers (Bottom of Page)"/>
        <w:docPartUnique/>
      </w:docPartObj>
    </w:sdtPr>
    <w:sdtContent>
      <w:p w14:paraId="1C0D7307" w14:textId="280AB55A" w:rsidR="00977126" w:rsidRDefault="00977126">
        <w:pPr>
          <w:pStyle w:val="a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9BE4" w14:textId="77777777" w:rsidR="00CB2F4F" w:rsidRDefault="00CB2F4F">
      <w:r>
        <w:separator/>
      </w:r>
    </w:p>
  </w:footnote>
  <w:footnote w:type="continuationSeparator" w:id="0">
    <w:p w14:paraId="0CB5D3D3" w14:textId="77777777" w:rsidR="00CB2F4F" w:rsidRDefault="00CB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0EED"/>
    <w:multiLevelType w:val="hybridMultilevel"/>
    <w:tmpl w:val="7F1A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C6F"/>
    <w:multiLevelType w:val="hybridMultilevel"/>
    <w:tmpl w:val="3524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955"/>
    <w:multiLevelType w:val="hybridMultilevel"/>
    <w:tmpl w:val="7E1C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3BB1"/>
    <w:multiLevelType w:val="hybridMultilevel"/>
    <w:tmpl w:val="5B26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2DC9"/>
    <w:multiLevelType w:val="hybridMultilevel"/>
    <w:tmpl w:val="5752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4DC4"/>
    <w:multiLevelType w:val="hybridMultilevel"/>
    <w:tmpl w:val="B29A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14D0D"/>
    <w:multiLevelType w:val="hybridMultilevel"/>
    <w:tmpl w:val="B280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4A44"/>
    <w:multiLevelType w:val="hybridMultilevel"/>
    <w:tmpl w:val="9990D0C0"/>
    <w:lvl w:ilvl="0" w:tplc="D02CC5C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D018D"/>
    <w:multiLevelType w:val="hybridMultilevel"/>
    <w:tmpl w:val="33AA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369B"/>
    <w:multiLevelType w:val="hybridMultilevel"/>
    <w:tmpl w:val="26AC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F2911"/>
    <w:multiLevelType w:val="hybridMultilevel"/>
    <w:tmpl w:val="5846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D5CB2"/>
    <w:multiLevelType w:val="hybridMultilevel"/>
    <w:tmpl w:val="2450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6603"/>
    <w:multiLevelType w:val="hybridMultilevel"/>
    <w:tmpl w:val="A51E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5337"/>
    <w:multiLevelType w:val="hybridMultilevel"/>
    <w:tmpl w:val="6BD8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2200B"/>
    <w:multiLevelType w:val="hybridMultilevel"/>
    <w:tmpl w:val="E486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E1447"/>
    <w:multiLevelType w:val="hybridMultilevel"/>
    <w:tmpl w:val="58C2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C5361"/>
    <w:multiLevelType w:val="hybridMultilevel"/>
    <w:tmpl w:val="F250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93E66"/>
    <w:multiLevelType w:val="hybridMultilevel"/>
    <w:tmpl w:val="376C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32D62"/>
    <w:multiLevelType w:val="hybridMultilevel"/>
    <w:tmpl w:val="A6D0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E46DD"/>
    <w:multiLevelType w:val="hybridMultilevel"/>
    <w:tmpl w:val="A16677F2"/>
    <w:lvl w:ilvl="0" w:tplc="7D04A2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6581C"/>
    <w:multiLevelType w:val="hybridMultilevel"/>
    <w:tmpl w:val="DFEC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B355A"/>
    <w:multiLevelType w:val="hybridMultilevel"/>
    <w:tmpl w:val="083EB220"/>
    <w:lvl w:ilvl="0" w:tplc="730C10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77710"/>
    <w:multiLevelType w:val="hybridMultilevel"/>
    <w:tmpl w:val="00BC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A14C4"/>
    <w:multiLevelType w:val="hybridMultilevel"/>
    <w:tmpl w:val="90BC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55BA1"/>
    <w:multiLevelType w:val="hybridMultilevel"/>
    <w:tmpl w:val="7570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37C7E"/>
    <w:multiLevelType w:val="hybridMultilevel"/>
    <w:tmpl w:val="8ED8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266C3"/>
    <w:multiLevelType w:val="hybridMultilevel"/>
    <w:tmpl w:val="4E7AFFBC"/>
    <w:lvl w:ilvl="0" w:tplc="7B2A6D64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5054F"/>
    <w:multiLevelType w:val="hybridMultilevel"/>
    <w:tmpl w:val="666CC9A8"/>
    <w:lvl w:ilvl="0" w:tplc="A088076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441F2"/>
    <w:multiLevelType w:val="hybridMultilevel"/>
    <w:tmpl w:val="58F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5A20"/>
    <w:multiLevelType w:val="hybridMultilevel"/>
    <w:tmpl w:val="8F703F9C"/>
    <w:lvl w:ilvl="0" w:tplc="C17E87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F01DF"/>
    <w:multiLevelType w:val="multilevel"/>
    <w:tmpl w:val="0C6A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AEC5D81"/>
    <w:multiLevelType w:val="hybridMultilevel"/>
    <w:tmpl w:val="D028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D3D05"/>
    <w:multiLevelType w:val="hybridMultilevel"/>
    <w:tmpl w:val="583E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C0E87"/>
    <w:multiLevelType w:val="hybridMultilevel"/>
    <w:tmpl w:val="EABCB94A"/>
    <w:lvl w:ilvl="0" w:tplc="1C3EF6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0093D"/>
    <w:multiLevelType w:val="hybridMultilevel"/>
    <w:tmpl w:val="1BB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479CB"/>
    <w:multiLevelType w:val="hybridMultilevel"/>
    <w:tmpl w:val="72F8ED94"/>
    <w:lvl w:ilvl="0" w:tplc="F126C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C7C8C"/>
    <w:multiLevelType w:val="multilevel"/>
    <w:tmpl w:val="26D06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426A53"/>
    <w:multiLevelType w:val="hybridMultilevel"/>
    <w:tmpl w:val="834E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E57DF"/>
    <w:multiLevelType w:val="hybridMultilevel"/>
    <w:tmpl w:val="7ECC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548CB"/>
    <w:multiLevelType w:val="hybridMultilevel"/>
    <w:tmpl w:val="7FF2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E021C"/>
    <w:multiLevelType w:val="hybridMultilevel"/>
    <w:tmpl w:val="CC98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55E4B"/>
    <w:multiLevelType w:val="hybridMultilevel"/>
    <w:tmpl w:val="706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C1BF6"/>
    <w:multiLevelType w:val="hybridMultilevel"/>
    <w:tmpl w:val="DB525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8158A"/>
    <w:multiLevelType w:val="hybridMultilevel"/>
    <w:tmpl w:val="0C1C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E70B0"/>
    <w:multiLevelType w:val="hybridMultilevel"/>
    <w:tmpl w:val="E662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54438"/>
    <w:multiLevelType w:val="hybridMultilevel"/>
    <w:tmpl w:val="B25E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82541"/>
    <w:multiLevelType w:val="hybridMultilevel"/>
    <w:tmpl w:val="B810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724E0"/>
    <w:multiLevelType w:val="hybridMultilevel"/>
    <w:tmpl w:val="1814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9"/>
  </w:num>
  <w:num w:numId="4">
    <w:abstractNumId w:val="38"/>
  </w:num>
  <w:num w:numId="5">
    <w:abstractNumId w:val="14"/>
  </w:num>
  <w:num w:numId="6">
    <w:abstractNumId w:val="15"/>
  </w:num>
  <w:num w:numId="7">
    <w:abstractNumId w:val="47"/>
  </w:num>
  <w:num w:numId="8">
    <w:abstractNumId w:val="1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22"/>
  </w:num>
  <w:num w:numId="14">
    <w:abstractNumId w:val="39"/>
  </w:num>
  <w:num w:numId="15">
    <w:abstractNumId w:val="23"/>
  </w:num>
  <w:num w:numId="16">
    <w:abstractNumId w:val="25"/>
  </w:num>
  <w:num w:numId="17">
    <w:abstractNumId w:val="40"/>
  </w:num>
  <w:num w:numId="18">
    <w:abstractNumId w:val="13"/>
  </w:num>
  <w:num w:numId="19">
    <w:abstractNumId w:val="42"/>
  </w:num>
  <w:num w:numId="20">
    <w:abstractNumId w:val="6"/>
  </w:num>
  <w:num w:numId="21">
    <w:abstractNumId w:val="5"/>
  </w:num>
  <w:num w:numId="22">
    <w:abstractNumId w:val="24"/>
  </w:num>
  <w:num w:numId="23">
    <w:abstractNumId w:val="31"/>
  </w:num>
  <w:num w:numId="24">
    <w:abstractNumId w:val="20"/>
  </w:num>
  <w:num w:numId="25">
    <w:abstractNumId w:val="28"/>
  </w:num>
  <w:num w:numId="26">
    <w:abstractNumId w:val="12"/>
  </w:num>
  <w:num w:numId="27">
    <w:abstractNumId w:val="41"/>
  </w:num>
  <w:num w:numId="28">
    <w:abstractNumId w:val="45"/>
  </w:num>
  <w:num w:numId="29">
    <w:abstractNumId w:val="43"/>
  </w:num>
  <w:num w:numId="30">
    <w:abstractNumId w:val="16"/>
  </w:num>
  <w:num w:numId="31">
    <w:abstractNumId w:val="8"/>
  </w:num>
  <w:num w:numId="32">
    <w:abstractNumId w:val="44"/>
  </w:num>
  <w:num w:numId="33">
    <w:abstractNumId w:val="18"/>
  </w:num>
  <w:num w:numId="34">
    <w:abstractNumId w:val="34"/>
  </w:num>
  <w:num w:numId="35">
    <w:abstractNumId w:val="37"/>
  </w:num>
  <w:num w:numId="36">
    <w:abstractNumId w:val="11"/>
  </w:num>
  <w:num w:numId="37">
    <w:abstractNumId w:val="30"/>
  </w:num>
  <w:num w:numId="38">
    <w:abstractNumId w:val="10"/>
  </w:num>
  <w:num w:numId="39">
    <w:abstractNumId w:val="19"/>
  </w:num>
  <w:num w:numId="40">
    <w:abstractNumId w:val="46"/>
  </w:num>
  <w:num w:numId="41">
    <w:abstractNumId w:val="35"/>
  </w:num>
  <w:num w:numId="42">
    <w:abstractNumId w:val="21"/>
  </w:num>
  <w:num w:numId="43">
    <w:abstractNumId w:val="33"/>
  </w:num>
  <w:num w:numId="44">
    <w:abstractNumId w:val="26"/>
  </w:num>
  <w:num w:numId="45">
    <w:abstractNumId w:val="32"/>
  </w:num>
  <w:num w:numId="46">
    <w:abstractNumId w:val="7"/>
  </w:num>
  <w:num w:numId="47">
    <w:abstractNumId w:val="27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AC"/>
    <w:rsid w:val="000416B3"/>
    <w:rsid w:val="0006634C"/>
    <w:rsid w:val="00076A2B"/>
    <w:rsid w:val="00096B27"/>
    <w:rsid w:val="000A1428"/>
    <w:rsid w:val="000F1C3E"/>
    <w:rsid w:val="001A5E55"/>
    <w:rsid w:val="001B3F03"/>
    <w:rsid w:val="001C0265"/>
    <w:rsid w:val="001E6FB4"/>
    <w:rsid w:val="0025262F"/>
    <w:rsid w:val="00273038"/>
    <w:rsid w:val="002D0C73"/>
    <w:rsid w:val="002F3E32"/>
    <w:rsid w:val="00382B92"/>
    <w:rsid w:val="0038775E"/>
    <w:rsid w:val="003C6DAC"/>
    <w:rsid w:val="003C72C3"/>
    <w:rsid w:val="003E745C"/>
    <w:rsid w:val="00414CEF"/>
    <w:rsid w:val="0042082C"/>
    <w:rsid w:val="00434B55"/>
    <w:rsid w:val="0045539F"/>
    <w:rsid w:val="00477636"/>
    <w:rsid w:val="004E6C76"/>
    <w:rsid w:val="005614A9"/>
    <w:rsid w:val="00572239"/>
    <w:rsid w:val="005B1D0E"/>
    <w:rsid w:val="005F36AA"/>
    <w:rsid w:val="00691F60"/>
    <w:rsid w:val="006A5B4D"/>
    <w:rsid w:val="006B6D4A"/>
    <w:rsid w:val="006C207C"/>
    <w:rsid w:val="00772088"/>
    <w:rsid w:val="0079349A"/>
    <w:rsid w:val="007959D2"/>
    <w:rsid w:val="008673D1"/>
    <w:rsid w:val="008A0F71"/>
    <w:rsid w:val="008E51A7"/>
    <w:rsid w:val="008F3DDE"/>
    <w:rsid w:val="00967A1F"/>
    <w:rsid w:val="00977126"/>
    <w:rsid w:val="009870ED"/>
    <w:rsid w:val="009931D1"/>
    <w:rsid w:val="009F0A22"/>
    <w:rsid w:val="00A5663C"/>
    <w:rsid w:val="00B21A2F"/>
    <w:rsid w:val="00B97BC2"/>
    <w:rsid w:val="00BF5635"/>
    <w:rsid w:val="00C7346F"/>
    <w:rsid w:val="00C74C3C"/>
    <w:rsid w:val="00CA609D"/>
    <w:rsid w:val="00CB2F4F"/>
    <w:rsid w:val="00CC76DD"/>
    <w:rsid w:val="00CE774E"/>
    <w:rsid w:val="00D026DC"/>
    <w:rsid w:val="00D20A5C"/>
    <w:rsid w:val="00D434BE"/>
    <w:rsid w:val="00D939EC"/>
    <w:rsid w:val="00DA307C"/>
    <w:rsid w:val="00DA70D9"/>
    <w:rsid w:val="00DD1A70"/>
    <w:rsid w:val="00DF02BC"/>
    <w:rsid w:val="00E656DE"/>
    <w:rsid w:val="00EB7850"/>
    <w:rsid w:val="00F41C42"/>
    <w:rsid w:val="00F502A1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E5588"/>
  <w15:docId w15:val="{86B70178-29D8-4CF6-AAD3-F1CDB301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4C"/>
  </w:style>
  <w:style w:type="paragraph" w:styleId="1">
    <w:name w:val="heading 1"/>
    <w:basedOn w:val="a"/>
    <w:next w:val="a"/>
    <w:link w:val="10"/>
    <w:uiPriority w:val="9"/>
    <w:qFormat/>
    <w:rsid w:val="0006634C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6634C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34C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34C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34C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34C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34C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3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3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73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Pr>
      <w:color w:val="F49100" w:themeColor="hyperlink"/>
      <w:u w:val="single"/>
    </w:rPr>
  </w:style>
  <w:style w:type="paragraph" w:styleId="a8">
    <w:name w:val="footer"/>
    <w:basedOn w:val="a"/>
    <w:link w:val="a9"/>
    <w:uiPriority w:val="99"/>
    <w:unhideWhenUsed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Pr>
      <w:rFonts w:asciiTheme="minorHAnsi" w:eastAsiaTheme="minorEastAsia" w:hAnsiTheme="minorHAnsi"/>
      <w:sz w:val="22"/>
      <w:szCs w:val="22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</w:rPr>
  </w:style>
  <w:style w:type="paragraph" w:customStyle="1" w:styleId="m">
    <w:name w:val="m_ПростойТекст"/>
    <w:basedOn w:val="a"/>
    <w:rsid w:val="009870ED"/>
    <w:pPr>
      <w:suppressAutoHyphens/>
      <w:jc w:val="both"/>
    </w:pPr>
    <w:rPr>
      <w:rFonts w:cs="Calibri"/>
      <w:lang w:eastAsia="ar-SA"/>
    </w:rPr>
  </w:style>
  <w:style w:type="character" w:styleId="ac">
    <w:name w:val="Unresolved Mention"/>
    <w:basedOn w:val="a0"/>
    <w:uiPriority w:val="99"/>
    <w:semiHidden/>
    <w:unhideWhenUsed/>
    <w:rsid w:val="009F0A22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C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A60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609D"/>
  </w:style>
  <w:style w:type="character" w:customStyle="1" w:styleId="af0">
    <w:name w:val="Текст примечания Знак"/>
    <w:basedOn w:val="a0"/>
    <w:link w:val="af"/>
    <w:uiPriority w:val="99"/>
    <w:semiHidden/>
    <w:rsid w:val="00CA609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60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60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634C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Заголовок 2 Знак"/>
    <w:basedOn w:val="a0"/>
    <w:link w:val="2"/>
    <w:uiPriority w:val="9"/>
    <w:rsid w:val="0006634C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634C"/>
    <w:rPr>
      <w:caps/>
      <w:color w:val="07366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634C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634C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634C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634C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63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634C"/>
    <w:rPr>
      <w:i/>
      <w:iCs/>
      <w:caps/>
      <w:spacing w:val="10"/>
      <w:sz w:val="18"/>
      <w:szCs w:val="18"/>
    </w:rPr>
  </w:style>
  <w:style w:type="paragraph" w:styleId="af3">
    <w:name w:val="caption"/>
    <w:basedOn w:val="a"/>
    <w:next w:val="a"/>
    <w:uiPriority w:val="35"/>
    <w:semiHidden/>
    <w:unhideWhenUsed/>
    <w:qFormat/>
    <w:rsid w:val="0006634C"/>
    <w:rPr>
      <w:b/>
      <w:bCs/>
      <w:color w:val="0B5294" w:themeColor="accent1" w:themeShade="BF"/>
      <w:sz w:val="16"/>
      <w:szCs w:val="16"/>
    </w:rPr>
  </w:style>
  <w:style w:type="paragraph" w:styleId="af4">
    <w:name w:val="Title"/>
    <w:basedOn w:val="a"/>
    <w:next w:val="a"/>
    <w:link w:val="af5"/>
    <w:uiPriority w:val="10"/>
    <w:qFormat/>
    <w:rsid w:val="0006634C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06634C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6634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7">
    <w:name w:val="Подзаголовок Знак"/>
    <w:basedOn w:val="a0"/>
    <w:link w:val="af6"/>
    <w:uiPriority w:val="11"/>
    <w:rsid w:val="0006634C"/>
    <w:rPr>
      <w:caps/>
      <w:color w:val="595959" w:themeColor="text1" w:themeTint="A6"/>
      <w:spacing w:val="10"/>
      <w:sz w:val="21"/>
      <w:szCs w:val="21"/>
    </w:rPr>
  </w:style>
  <w:style w:type="character" w:styleId="af8">
    <w:name w:val="Strong"/>
    <w:uiPriority w:val="22"/>
    <w:qFormat/>
    <w:rsid w:val="0006634C"/>
    <w:rPr>
      <w:b/>
      <w:bCs/>
    </w:rPr>
  </w:style>
  <w:style w:type="character" w:styleId="af9">
    <w:name w:val="Emphasis"/>
    <w:uiPriority w:val="20"/>
    <w:qFormat/>
    <w:rsid w:val="0006634C"/>
    <w:rPr>
      <w:caps/>
      <w:color w:val="073662" w:themeColor="accent1" w:themeShade="7F"/>
      <w:spacing w:val="5"/>
    </w:rPr>
  </w:style>
  <w:style w:type="paragraph" w:styleId="afa">
    <w:name w:val="No Spacing"/>
    <w:uiPriority w:val="1"/>
    <w:qFormat/>
    <w:rsid w:val="0006634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634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634C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06634C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06634C"/>
    <w:rPr>
      <w:color w:val="0F6FC6" w:themeColor="accent1"/>
      <w:sz w:val="24"/>
      <w:szCs w:val="24"/>
    </w:rPr>
  </w:style>
  <w:style w:type="character" w:styleId="afd">
    <w:name w:val="Subtle Emphasis"/>
    <w:uiPriority w:val="19"/>
    <w:qFormat/>
    <w:rsid w:val="0006634C"/>
    <w:rPr>
      <w:i/>
      <w:iCs/>
      <w:color w:val="073662" w:themeColor="accent1" w:themeShade="7F"/>
    </w:rPr>
  </w:style>
  <w:style w:type="character" w:styleId="afe">
    <w:name w:val="Intense Emphasis"/>
    <w:uiPriority w:val="21"/>
    <w:qFormat/>
    <w:rsid w:val="0006634C"/>
    <w:rPr>
      <w:b/>
      <w:bCs/>
      <w:caps/>
      <w:color w:val="073662" w:themeColor="accent1" w:themeShade="7F"/>
      <w:spacing w:val="10"/>
    </w:rPr>
  </w:style>
  <w:style w:type="character" w:styleId="aff">
    <w:name w:val="Subtle Reference"/>
    <w:uiPriority w:val="31"/>
    <w:qFormat/>
    <w:rsid w:val="0006634C"/>
    <w:rPr>
      <w:b/>
      <w:bCs/>
      <w:color w:val="0F6FC6" w:themeColor="accent1"/>
    </w:rPr>
  </w:style>
  <w:style w:type="character" w:styleId="aff0">
    <w:name w:val="Intense Reference"/>
    <w:uiPriority w:val="32"/>
    <w:qFormat/>
    <w:rsid w:val="0006634C"/>
    <w:rPr>
      <w:b/>
      <w:bCs/>
      <w:i/>
      <w:iCs/>
      <w:caps/>
      <w:color w:val="0F6FC6" w:themeColor="accent1"/>
    </w:rPr>
  </w:style>
  <w:style w:type="character" w:styleId="aff1">
    <w:name w:val="Book Title"/>
    <w:uiPriority w:val="33"/>
    <w:qFormat/>
    <w:rsid w:val="0006634C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0663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liance@aspectus-pharma.ru" TargetMode="External"/></Relationships>
</file>

<file path=word/theme/theme1.xml><?xml version="1.0" encoding="utf-8"?>
<a:theme xmlns:a="http://schemas.openxmlformats.org/drawingml/2006/main" name="Сектор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2359-E07A-449C-98C4-2B09CA91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1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1</dc:creator>
  <cp:lastModifiedBy>Федоткина Мария Сергеевна</cp:lastModifiedBy>
  <cp:revision>3</cp:revision>
  <cp:lastPrinted>2020-10-14T15:24:00Z</cp:lastPrinted>
  <dcterms:created xsi:type="dcterms:W3CDTF">2020-10-16T08:55:00Z</dcterms:created>
  <dcterms:modified xsi:type="dcterms:W3CDTF">2020-10-16T11:44:00Z</dcterms:modified>
</cp:coreProperties>
</file>